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МЕХАНИЗМ 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расчёта нормативов для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финансового обеспечения государственных гарантий реализации прав граждан на получение общедоступного и бесплатного дошкольного образования в муниципальных образовательных организациях Новосибирской области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Настоящий Механизм разработан в целях определения единого подхода при расчёте объёмов средств на</w:t>
      </w: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финансовое обеспечение государственных гарантий реализации прав граждан на получение общедоступного и бесплатного дошкольного образования.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В расходы на обеспечение государственных гарантий реализации прав граждан на получение общедоступного и бесплатного дошкольного образования включены: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средства на оплату труда (базовая и стимулирующая части заработной платы педагогического, административного и учебно - вспомогательного персонала), начисления на выплаты по оплате труда;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расходы на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Норматив расходов по заработной плате на одного воспитанника определяется на основе: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стандартной стоимости образовательной услуги;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нормативного соотношения базовой и стимулирующей части фонды оплаты труда;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коэффициентов удорожания образовательной услуги.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Расчет стандартной стоимости образовательной услуги на одного воспитанника, получающего дошкольное образование, осуществляется исходя из следующих показателей: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1. Количества воспитанников в группе в соответствии с Постановлением Главного государственного санитарного врача РФ от 28.09.2020 № 28 «Об утверждении санитарных правил СП 2.4.3648-20 "Санитарно-эпидемиологические требования к организациям воспитания и обучения, отдыха и оздоровления детей и молодежи».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 Численности персонала, занятого реализацией программы дошкольного образования (Постановление Министерства труда Российской Федерации от 21.04.1993 № 88 «Об утверждении нормативов по определению численности персонала, занятого обслуживанием дошкольных учреждений (ясли, ясли – сады, детские сады)»).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 Ставок заработной платы: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педагогического персонала по должности «Воспитатель» имеющего высшее профессиональное образование или среднее профессиональное образование по направлению подготовки «Образование и педагогика» без предъявления требований к стажу работы, либо высшее профессиональное образование или среднее профессиональное образование и профессиональное дополнительное образование по направлению подготовки «Образование и педагогика» без предъявления требований к стажу работы, установленной областным отраслевым тарифным соглашением и увеличенной на размер ежемесячной компенсации на обеспечение книгоиздательской продукцией и периодическими изданиями 100 рублей;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- административного персонала по должности «Руководитель (директор) учреждения» отнесённого к </w:t>
      </w:r>
      <w:r>
        <w:rPr>
          <w:rFonts w:cs="Times New Roman" w:ascii="Times New Roman" w:hAnsi="Times New Roman"/>
          <w:sz w:val="28"/>
          <w:szCs w:val="28"/>
          <w:lang w:val="en-US"/>
        </w:rPr>
        <w:t>IV</w:t>
      </w:r>
      <w:r>
        <w:rPr>
          <w:rFonts w:cs="Times New Roman" w:ascii="Times New Roman" w:hAnsi="Times New Roman"/>
          <w:sz w:val="28"/>
          <w:szCs w:val="28"/>
        </w:rPr>
        <w:t xml:space="preserve"> группе по оплате труда руководителей, установленной областным отраслевым тарифным соглашением;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учебно – вспомогательного персонала по должности «Младший воспитатель» установленной областным отраслевым тарифным соглашением.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Коэффициента увеличения фонда оплаты труда на выплаты компенсационного характера: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дошкольных организаций, расположенных в городской местности – 1,15;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для дошкольных организаций, расположенных в сельской местности – 1,40 (15% + 25% за работу на селе)</w:t>
      </w:r>
    </w:p>
    <w:p>
      <w:pPr>
        <w:pStyle w:val="Normal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5. Коэффициента увеличения фонда оплаты труда на выплаты стимулирующего характера – 1,25 (В соответствии с постановлением Правительства Новосибирской области от 26.06.2018 </w:t>
      </w:r>
      <w:bookmarkStart w:id="0" w:name="_GoBack"/>
      <w:bookmarkEnd w:id="0"/>
      <w:r>
        <w:rPr>
          <w:rFonts w:cs="Times New Roman" w:ascii="Times New Roman" w:hAnsi="Times New Roman"/>
          <w:sz w:val="28"/>
          <w:szCs w:val="28"/>
        </w:rPr>
        <w:t>№ 272-п объем стимулирующей части фонда оплаты труда рекомендуется формировать в размере не менее 20 процентов от фонда оплаты труда учреждения).</w:t>
      </w:r>
    </w:p>
    <w:p>
      <w:pPr>
        <w:pStyle w:val="NoSpacing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6. Районного коэффициента – 1,25.                          </w:t>
      </w:r>
    </w:p>
    <w:p>
      <w:pPr>
        <w:pStyle w:val="NoSpacing"/>
        <w:ind w:firstLine="540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 Коэффициента начислений на выплаты по оплате труда – 1,302.</w:t>
      </w:r>
    </w:p>
    <w:p>
      <w:pPr>
        <w:pStyle w:val="NoSpacing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Норматив расходов на оплату труда определяется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N</w:t>
      </w:r>
      <w:r>
        <w:rPr>
          <w:rFonts w:cs="Times New Roman" w:ascii="Times New Roman" w:hAnsi="Times New Roman"/>
          <w:sz w:val="28"/>
          <w:szCs w:val="28"/>
        </w:rPr>
        <w:t xml:space="preserve"> =</w:t>
      </w:r>
      <w:r>
        <w:rPr/>
      </w:r>
      <m:oMath xmlns:m="http://schemas.openxmlformats.org/officeDocument/2006/math">
        <m:f>
          <m:num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F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F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F</m:t>
                </m:r>
                <m:r>
                  <w:rPr>
                    <w:rFonts w:ascii="Cambria Math" w:hAnsi="Cambria Math"/>
                  </w:rPr>
                  <m:t xml:space="preserve">3</m:t>
                </m:r>
              </m:e>
            </m:d>
            <m:r>
              <w:rPr>
                <w:rFonts w:ascii="Cambria Math" w:hAnsi="Cambria Math"/>
              </w:rPr>
              <m:t xml:space="preserve">х</m:t>
            </m:r>
            <m:r>
              <w:rPr>
                <w:rFonts w:ascii="Cambria Math" w:hAnsi="Cambria Math"/>
              </w:rPr>
              <m:t xml:space="preserve">1,25</m:t>
            </m:r>
            <m:r>
              <w:rPr>
                <w:rFonts w:ascii="Cambria Math" w:hAnsi="Cambria Math"/>
              </w:rPr>
              <m:t xml:space="preserve">х</m:t>
            </m:r>
            <m:r>
              <w:rPr>
                <w:rFonts w:ascii="Cambria Math" w:hAnsi="Cambria Math"/>
              </w:rPr>
              <m:t xml:space="preserve">1,302</m:t>
            </m:r>
          </m:num>
          <m:den>
            <m:r>
              <w:rPr>
                <w:rFonts w:ascii="Cambria Math" w:hAnsi="Cambria Math"/>
              </w:rPr>
              <m:t xml:space="preserve">Чвос</m:t>
            </m:r>
          </m:den>
        </m:f>
        <m:r>
          <w:rPr>
            <w:rFonts w:ascii="Cambria Math" w:hAnsi="Cambria Math"/>
          </w:rPr>
          <m:t xml:space="preserve">х</m:t>
        </m:r>
        <m:r>
          <w:rPr>
            <w:rFonts w:ascii="Cambria Math" w:hAnsi="Cambria Math"/>
          </w:rPr>
          <m:t xml:space="preserve">12</m:t>
        </m:r>
      </m:oMath>
      <w:r>
        <w:rPr>
          <w:rFonts w:eastAsia="" w:cs="Times New Roman" w:ascii="Times New Roman" w:hAnsi="Times New Roman" w:eastAsiaTheme="minorEastAsia"/>
          <w:sz w:val="28"/>
          <w:szCs w:val="28"/>
        </w:rPr>
        <w:t>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1 </w:t>
      </w:r>
      <w:r>
        <w:rPr>
          <w:rFonts w:cs="Times New Roman" w:ascii="Times New Roman" w:hAnsi="Times New Roman"/>
          <w:sz w:val="28"/>
          <w:szCs w:val="28"/>
        </w:rPr>
        <w:t>- расходы на оплату труда педагогического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- расходы на оплату труда административно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3 </w:t>
      </w:r>
      <w:r>
        <w:rPr>
          <w:rFonts w:cs="Times New Roman" w:ascii="Times New Roman" w:hAnsi="Times New Roman"/>
          <w:sz w:val="28"/>
          <w:szCs w:val="28"/>
        </w:rPr>
        <w:t xml:space="preserve"> - расходы на оплату труда учебно – вспомогательного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1,25 - коэффициент увеличения фонда оплаты труда на выплаты стимулирующего характера;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1,302 - начисления на выплаты по оплате труда;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вос</w:t>
      </w:r>
      <w:r>
        <w:rPr>
          <w:rFonts w:cs="Times New Roman" w:ascii="Times New Roman" w:hAnsi="Times New Roman"/>
          <w:sz w:val="28"/>
          <w:szCs w:val="28"/>
        </w:rPr>
        <w:t xml:space="preserve"> - численность воспитанников;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12 - количество месяцев в году.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Расходы на оплату труда педагогического персонала рассчитываются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>1</w:t>
      </w:r>
      <w:r>
        <w:rPr>
          <w:rFonts w:cs="Times New Roman" w:ascii="Times New Roman" w:hAnsi="Times New Roman"/>
          <w:sz w:val="28"/>
          <w:szCs w:val="28"/>
        </w:rPr>
        <w:t xml:space="preserve"> = 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х 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х 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 xml:space="preserve"> х 1,25,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- должностной оклад;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- численность педагогического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> -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коэффициент увеличения ФОТ на выплаты компенсационного характера - для дошкольных организаций, расположенных в городской местности 1,15; для дошкольных организаций, расположенных в сельской местности 1,4 (15% + 25% за работу на селе);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1,25 - районный коэффициент.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Расходы на оплату труда административного персонала рассчитываются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>2</w:t>
      </w:r>
      <w:r>
        <w:rPr>
          <w:rFonts w:cs="Times New Roman" w:ascii="Times New Roman" w:hAnsi="Times New Roman"/>
          <w:sz w:val="28"/>
          <w:szCs w:val="28"/>
        </w:rPr>
        <w:t xml:space="preserve"> = 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х 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х 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 xml:space="preserve"> х 1,25,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- должностной оклад;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- численность административного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коэффициент увеличения ФОТ на выплаты компенсационного характера - для дошкольных организаций, расположенных в городской местности 1,15; для дошкольных организаций, расположенных в сельской местности 1,4 (15% + 25% за работу на селе);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1,25 - районный коэффициент.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Расходы на оплату труда учебно - вспомогательного персонала рассчитываются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= 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х 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х 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 xml:space="preserve"> х 1,25,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- должностной оклад;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- численность учебно - вспомогательного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-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коэффициент увеличения ФОТ на выплаты компенсационного характера - 1,15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1,25 - районный коэффициент.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 нормативу расходов на оплату труда педагогических работников, административного и учебно – вспомогательного персонала с начислениями на выплаты по оплате труда применяются поправочные (повышающие) коэффициенты: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1. Коэффициенты, учитывающие стоимость образовательной услуги: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 xml:space="preserve">- в учреждениях (группах) компенсирующего вида с приоритетным осуществлением квалифицированной коррекции отклонений в физическом и психическом развитии воспитанников – 2,2;           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 в группах комбинированной направленности, реализующих совместное образование здоровых детей и детей с ограниченными возможностями здоровья – 1,8;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 </w:t>
      </w:r>
      <w:r>
        <w:rPr>
          <w:rFonts w:eastAsia="Times New Roman" w:cs="Times New Roman" w:ascii="Times New Roman" w:hAnsi="Times New Roman"/>
          <w:sz w:val="28"/>
          <w:szCs w:val="28"/>
        </w:rPr>
        <w:t xml:space="preserve">в учреждениях (группах) присмотра и оздоровления с приоритетным осуществлением санитарно-гигиенических, профилактических и оздоровительных мероприятий и процедур – 1,2;     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 </w:t>
      </w:r>
      <w:r>
        <w:rPr>
          <w:rFonts w:eastAsia="Times New Roman" w:cs="Times New Roman" w:ascii="Times New Roman" w:hAnsi="Times New Roman"/>
          <w:sz w:val="28"/>
          <w:szCs w:val="28"/>
        </w:rPr>
        <w:t>в группах с воспитанниками в возрасте до 3 лет – 1,2;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</w:t>
      </w:r>
      <w:r>
        <w:rPr>
          <w:rFonts w:eastAsia="Times New Roman" w:cs="Times New Roman" w:ascii="Times New Roman" w:hAnsi="Times New Roman"/>
          <w:sz w:val="28"/>
          <w:szCs w:val="28"/>
          <w:lang w:val="en-US"/>
        </w:rPr>
        <w:t> </w:t>
      </w:r>
      <w:r>
        <w:rPr>
          <w:rFonts w:eastAsia="Times New Roman" w:cs="Times New Roman" w:ascii="Times New Roman" w:hAnsi="Times New Roman"/>
          <w:sz w:val="28"/>
          <w:szCs w:val="28"/>
        </w:rPr>
        <w:t>в группах с 24-часовым пребыванием детей – 1,05.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2. Коэффициенты, учитывающие количество групп в дошкольной организации: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- 1 группа – 1,5;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- 2 группы – 1,25;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- 3 группы – 1,15;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- 4 – 6 групп – 1,1;</w:t>
      </w:r>
    </w:p>
    <w:p>
      <w:pPr>
        <w:pStyle w:val="NoSpacing"/>
        <w:ind w:left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- 7 - 11 групп – 1,05.</w:t>
      </w:r>
    </w:p>
    <w:p>
      <w:pPr>
        <w:pStyle w:val="Normal"/>
        <w:spacing w:lineRule="auto" w:line="240" w:before="0"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Коэффициенты, направленные на повышение качества образования, учитывающие наличие квалификационной категории педагогических работников: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 при наличии в составе коллектива свыше 50% педагогических работников, имеющих первую и высшую квалификационную категорию – 1,08;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 при наличии в составе коллектива свыше 70% педагогических работников, имеющих первую и высшую квалификационную категорию – 1,12;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 при наличии в составе коллектива свыше 50% педагогических работников, имеющих высшую категорию – 1,16.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4. Коэффициенты, учитывающие наличие особого потенциала образовательной организации: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 наличие плавательного бассейна – 1,04.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5. Коэффициенты, учитывающие вариативность реализуемых образовательных программ: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 образовательных организациях, в которых часть образовательной программы, формируемая участниками образовательных отношений, направлена на развитие детей в четырех - пяти образовательных областях – 1,1;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в образовательных организациях, в которых часть образовательной программы, формируемая участниками образовательных отношений, направлена на развитие детей в двух-трех образовательных областях – 1,05.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6. Коэффициенты, учитывающие обучение детей с ограниченными возможностями здоровья по адаптированным образовательным программам: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для обучающихся с ограниченными возможностями здоровья, в том числе с расстройствами аутистического спектра в группах общеразвивающей направленности, реализующих программу дошкольного образования – 2,1;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- для обучающихся с расстройствами аутистического спектра, нуждающихся в индивидуальном тьюторском сопровождении, в группах общеразвивающей направленности, реализующих программу дошкольного образования – 11,5.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  <w:t>7. Коэффициент для муниципальных образовательных организаций, реализующих образовательные программы дошкольного образования, расположенных в сельских населенных пунктах, со средней наполняемостью не более 10 воспитанников в группе – 2,2.</w:t>
      </w:r>
    </w:p>
    <w:p>
      <w:pPr>
        <w:pStyle w:val="NoSpacing"/>
        <w:ind w:firstLine="708"/>
        <w:jc w:val="both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eastAsia="Times New Roman"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Норматив расходов на оплату труда в группах кратковременного пребывания с организацией одноразового питания определяется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N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крат</w:t>
      </w:r>
      <w:r>
        <w:rPr>
          <w:rFonts w:cs="Times New Roman" w:ascii="Times New Roman" w:hAnsi="Times New Roman"/>
          <w:sz w:val="28"/>
          <w:szCs w:val="28"/>
        </w:rPr>
        <w:t xml:space="preserve"> =</w:t>
      </w:r>
      <w:r>
        <w:rPr/>
      </w:r>
      <m:oMath xmlns:m="http://schemas.openxmlformats.org/officeDocument/2006/math">
        <m:f>
          <m:num>
            <m:d>
              <m:dPr>
                <m:begChr m:val="("/>
                <m:endChr m:val=")"/>
              </m:dPr>
              <m:e>
                <m:r>
                  <w:rPr>
                    <w:rFonts w:ascii="Cambria Math" w:hAnsi="Cambria Math"/>
                  </w:rPr>
                  <m:t xml:space="preserve">F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крат</m:t>
                </m:r>
                <m:r>
                  <w:rPr>
                    <w:rFonts w:ascii="Cambria Math" w:hAnsi="Cambria Math"/>
                  </w:rPr>
                  <m:t xml:space="preserve">+</m:t>
                </m:r>
                <m:r>
                  <w:rPr>
                    <w:rFonts w:ascii="Cambria Math" w:hAnsi="Cambria Math"/>
                  </w:rPr>
                  <m:t xml:space="preserve">F</m:t>
                </m:r>
                <m:r>
                  <w:rPr>
                    <w:rFonts w:ascii="Cambria Math" w:hAnsi="Cambria Math"/>
                  </w:rPr>
                  <m:t xml:space="preserve">2</m:t>
                </m:r>
                <m:r>
                  <w:rPr>
                    <w:rFonts w:ascii="Cambria Math" w:hAnsi="Cambria Math"/>
                  </w:rPr>
                  <m:t xml:space="preserve">крат</m:t>
                </m:r>
              </m:e>
            </m:d>
            <m:r>
              <w:rPr>
                <w:rFonts w:ascii="Cambria Math" w:hAnsi="Cambria Math"/>
              </w:rPr>
              <m:t xml:space="preserve">х</m:t>
            </m:r>
            <m:r>
              <w:rPr>
                <w:rFonts w:ascii="Cambria Math" w:hAnsi="Cambria Math"/>
              </w:rPr>
              <m:t xml:space="preserve">1,25</m:t>
            </m:r>
            <m:r>
              <w:rPr>
                <w:rFonts w:ascii="Cambria Math" w:hAnsi="Cambria Math"/>
              </w:rPr>
              <m:t xml:space="preserve">х</m:t>
            </m:r>
            <m:r>
              <w:rPr>
                <w:rFonts w:ascii="Cambria Math" w:hAnsi="Cambria Math"/>
              </w:rPr>
              <m:t xml:space="preserve">1,302</m:t>
            </m:r>
          </m:num>
          <m:den>
            <m:r>
              <w:rPr>
                <w:rFonts w:ascii="Cambria Math" w:hAnsi="Cambria Math"/>
              </w:rPr>
              <m:t xml:space="preserve">Чвос</m:t>
            </m:r>
          </m:den>
        </m:f>
        <m:r>
          <w:rPr>
            <w:rFonts w:ascii="Cambria Math" w:hAnsi="Cambria Math"/>
          </w:rPr>
          <m:t xml:space="preserve">х</m:t>
        </m:r>
        <m:r>
          <w:rPr>
            <w:rFonts w:ascii="Cambria Math" w:hAnsi="Cambria Math"/>
          </w:rPr>
          <m:t xml:space="preserve">12</m:t>
        </m:r>
      </m:oMath>
      <w:r>
        <w:rPr>
          <w:rFonts w:eastAsia="" w:cs="Times New Roman" w:ascii="Times New Roman" w:hAnsi="Times New Roman" w:eastAsiaTheme="minorEastAsia"/>
          <w:sz w:val="28"/>
          <w:szCs w:val="28"/>
        </w:rPr>
        <w:t>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1крат </w:t>
      </w:r>
      <w:r>
        <w:rPr>
          <w:rFonts w:cs="Times New Roman" w:ascii="Times New Roman" w:hAnsi="Times New Roman"/>
          <w:sz w:val="28"/>
          <w:szCs w:val="28"/>
        </w:rPr>
        <w:t xml:space="preserve"> - расходы на оплату труда педагогического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 xml:space="preserve">2крат </w:t>
      </w:r>
      <w:r>
        <w:rPr>
          <w:rFonts w:cs="Times New Roman" w:ascii="Times New Roman" w:hAnsi="Times New Roman"/>
          <w:sz w:val="28"/>
          <w:szCs w:val="28"/>
        </w:rPr>
        <w:t xml:space="preserve"> - расходы на оплату труда учебно – вспомогательного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1,25 - коэффициент увеличения фонда оплаты труда на выплаты стимулирующего характера;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1,302 - начисления на выплаты по оплате труда;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вос</w:t>
      </w:r>
      <w:r>
        <w:rPr>
          <w:rFonts w:cs="Times New Roman" w:ascii="Times New Roman" w:hAnsi="Times New Roman"/>
          <w:sz w:val="28"/>
          <w:szCs w:val="28"/>
        </w:rPr>
        <w:t xml:space="preserve"> – численность воспитанников;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 – количество месяцев в году.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Расходы на оплату труда педагогического персонала рассчитываются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>1крат</w:t>
      </w:r>
      <w:r>
        <w:rPr>
          <w:rFonts w:cs="Times New Roman" w:ascii="Times New Roman" w:hAnsi="Times New Roman"/>
          <w:sz w:val="28"/>
          <w:szCs w:val="28"/>
        </w:rPr>
        <w:t xml:space="preserve"> = 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х 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х 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 xml:space="preserve"> х 1,25,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- должностной оклад;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- численность педагогического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> -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коэффициент увеличения ФОТ на выплаты компенсационного характера – для дошкольных организаций, расположенных в городской местности 1,15, для дошкольных организаций, расположенных в сельской местности местности 1,4 (15% + 25% за работу на селе);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 – районный коэффициент.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Расходы на оплату труда учебно – вспомогательного персонала рассчитываются по формуле: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F</w:t>
      </w:r>
      <w:r>
        <w:rPr>
          <w:rFonts w:cs="Times New Roman" w:ascii="Times New Roman" w:hAnsi="Times New Roman"/>
          <w:sz w:val="28"/>
          <w:szCs w:val="28"/>
          <w:vertAlign w:val="subscript"/>
        </w:rPr>
        <w:t>2крат</w:t>
      </w:r>
      <w:r>
        <w:rPr>
          <w:rFonts w:cs="Times New Roman" w:ascii="Times New Roman" w:hAnsi="Times New Roman"/>
          <w:sz w:val="28"/>
          <w:szCs w:val="28"/>
        </w:rPr>
        <w:t xml:space="preserve"> = 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х 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х 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</w:rPr>
        <w:t xml:space="preserve"> х 1,25, где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  <w:lang w:val="en-US"/>
        </w:rPr>
        <w:t>D</w:t>
      </w:r>
      <w:r>
        <w:rPr>
          <w:rFonts w:cs="Times New Roman" w:ascii="Times New Roman" w:hAnsi="Times New Roman"/>
          <w:sz w:val="28"/>
          <w:szCs w:val="28"/>
          <w:vertAlign w:val="subscript"/>
        </w:rPr>
        <w:t>окл</w:t>
      </w:r>
      <w:r>
        <w:rPr>
          <w:rFonts w:cs="Times New Roman" w:ascii="Times New Roman" w:hAnsi="Times New Roman"/>
          <w:sz w:val="28"/>
          <w:szCs w:val="28"/>
        </w:rPr>
        <w:t xml:space="preserve"> – должностной оклад;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</w:t>
      </w:r>
      <w:r>
        <w:rPr>
          <w:rFonts w:cs="Times New Roman" w:ascii="Times New Roman" w:hAnsi="Times New Roman"/>
          <w:sz w:val="28"/>
          <w:szCs w:val="28"/>
          <w:vertAlign w:val="subscript"/>
        </w:rPr>
        <w:t>ст</w:t>
      </w:r>
      <w:r>
        <w:rPr>
          <w:rFonts w:cs="Times New Roman" w:ascii="Times New Roman" w:hAnsi="Times New Roman"/>
          <w:sz w:val="28"/>
          <w:szCs w:val="28"/>
        </w:rPr>
        <w:t xml:space="preserve"> – численность учебно – вспомогательного персонала;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К</w:t>
      </w:r>
      <w:r>
        <w:rPr>
          <w:rFonts w:cs="Times New Roman" w:ascii="Times New Roman" w:hAnsi="Times New Roman"/>
          <w:sz w:val="28"/>
          <w:szCs w:val="28"/>
          <w:vertAlign w:val="subscript"/>
        </w:rPr>
        <w:t>ком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–</w:t>
      </w:r>
      <w:r>
        <w:rPr>
          <w:rFonts w:cs="Times New Roman" w:ascii="Times New Roman" w:hAnsi="Times New Roman"/>
          <w:sz w:val="28"/>
          <w:szCs w:val="28"/>
          <w:lang w:val="en-US"/>
        </w:rPr>
        <w:t> </w:t>
      </w:r>
      <w:r>
        <w:rPr>
          <w:rFonts w:cs="Times New Roman" w:ascii="Times New Roman" w:hAnsi="Times New Roman"/>
          <w:sz w:val="28"/>
          <w:szCs w:val="28"/>
        </w:rPr>
        <w:t>коэффициент увеличения ФОТ на выплаты компенсационного характера – 1,15;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1,25 – районный коэффициент.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И.о. м</w:t>
      </w:r>
      <w:r>
        <w:rPr>
          <w:rFonts w:cs="Times New Roman" w:ascii="Times New Roman" w:hAnsi="Times New Roman"/>
          <w:sz w:val="28"/>
          <w:szCs w:val="28"/>
        </w:rPr>
        <w:t>инистр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образования</w:t>
      </w:r>
    </w:p>
    <w:p>
      <w:pPr>
        <w:pStyle w:val="NoSpacing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Новосибирской области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Ю.И. Савостьянов</w:t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sectPr>
      <w:type w:val="nextPage"/>
      <w:pgSz w:w="11906" w:h="16838"/>
      <w:pgMar w:left="1418" w:right="567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ea3157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ConsPlusNonformat" w:customStyle="1">
    <w:name w:val="ConsPlusNonformat"/>
    <w:uiPriority w:val="99"/>
    <w:qFormat/>
    <w:rsid w:val="001f64bb"/>
    <w:pPr>
      <w:widowControl w:val="false"/>
      <w:bidi w:val="0"/>
      <w:spacing w:lineRule="auto" w:line="240" w:before="0" w:after="0"/>
      <w:jc w:val="left"/>
    </w:pPr>
    <w:rPr>
      <w:rFonts w:ascii="Courier New" w:hAnsi="Courier New" w:eastAsia="" w:cs="Courier New" w:eastAsiaTheme="minorEastAsia"/>
      <w:color w:val="auto"/>
      <w:kern w:val="0"/>
      <w:sz w:val="20"/>
      <w:szCs w:val="20"/>
      <w:lang w:eastAsia="ru-RU" w:val="ru-RU" w:bidi="ar-SA"/>
    </w:rPr>
  </w:style>
  <w:style w:type="paragraph" w:styleId="NoSpacing">
    <w:name w:val="No Spacing"/>
    <w:uiPriority w:val="1"/>
    <w:qFormat/>
    <w:rsid w:val="001f64bb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ea3157"/>
    <w:pPr>
      <w:spacing w:lineRule="auto" w:line="240" w:before="0" w:after="0"/>
    </w:pPr>
    <w:rPr>
      <w:rFonts w:ascii="Tahoma" w:hAnsi="Tahoma" w:cs="Tahoma"/>
      <w:sz w:val="16"/>
      <w:szCs w:val="16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CAF4E-46D6-4CAC-B45C-A5341EA6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Application>LibreOffice/24.8.7.2$Linux_X86_64 LibreOffice_project/480$Build-2</Application>
  <AppVersion>15.0000</AppVersion>
  <Pages>5</Pages>
  <Words>1188</Words>
  <Characters>8391</Characters>
  <CharactersWithSpaces>9626</CharactersWithSpaces>
  <Paragraphs>98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2013-09-12T07:11:00Z</dcterms:created>
  <dc:creator>Стрельцова Е.Ф.</dc:creator>
  <dc:description/>
  <dc:language>ru-RU</dc:language>
  <cp:lastModifiedBy/>
  <cp:lastPrinted>2023-10-17T03:48:00Z</cp:lastPrinted>
  <dcterms:modified xsi:type="dcterms:W3CDTF">2025-10-16T10:13:01Z</dcterms:modified>
  <cp:revision>24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